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F32D" w14:textId="77777777" w:rsidR="009347A4" w:rsidRPr="00E02A51" w:rsidRDefault="009347A4" w:rsidP="009347A4">
      <w:pPr>
        <w:jc w:val="center"/>
        <w:rPr>
          <w:rFonts w:ascii="DejaVuSans" w:hAnsi="DejaVuSans" w:cstheme="majorHAnsi"/>
          <w:b/>
          <w:sz w:val="24"/>
          <w:szCs w:val="24"/>
        </w:rPr>
      </w:pPr>
      <w:r w:rsidRPr="00E02A51">
        <w:rPr>
          <w:rFonts w:ascii="DejaVuSans" w:hAnsi="DejaVuSans" w:cstheme="majorHAnsi"/>
          <w:b/>
          <w:sz w:val="24"/>
          <w:szCs w:val="24"/>
        </w:rPr>
        <w:t>Descriere proiect</w:t>
      </w:r>
    </w:p>
    <w:p w14:paraId="015E87F6" w14:textId="2292A6C9" w:rsidR="00545A2C" w:rsidRPr="00E02A51" w:rsidRDefault="00545A2C" w:rsidP="00545A2C">
      <w:pPr>
        <w:jc w:val="center"/>
        <w:rPr>
          <w:rFonts w:ascii="DejaVuSans" w:hAnsi="DejaVuSans" w:cstheme="majorHAnsi"/>
          <w:b/>
          <w:bCs/>
          <w:sz w:val="20"/>
          <w:szCs w:val="20"/>
        </w:rPr>
      </w:pPr>
      <w:r w:rsidRPr="00E02A51">
        <w:rPr>
          <w:rFonts w:ascii="DejaVuSans" w:hAnsi="DejaVuSans" w:cstheme="majorHAnsi"/>
          <w:b/>
          <w:bCs/>
          <w:kern w:val="0"/>
          <w:sz w:val="26"/>
          <w:szCs w:val="24"/>
        </w:rPr>
        <w:t>Centru îngrijiri paliative, județul Călărași</w:t>
      </w:r>
    </w:p>
    <w:p w14:paraId="4B3D3E17" w14:textId="64B113F0" w:rsidR="0015300A" w:rsidRPr="00447AEB" w:rsidRDefault="009347A4">
      <w:pPr>
        <w:rPr>
          <w:rFonts w:ascii="DejaVuSans" w:hAnsi="DejaVuSans" w:cstheme="majorHAnsi"/>
          <w:sz w:val="20"/>
          <w:szCs w:val="20"/>
        </w:rPr>
      </w:pPr>
      <w:r w:rsidRPr="00447AEB">
        <w:rPr>
          <w:rFonts w:ascii="DejaVuSans" w:hAnsi="DejaVuSans" w:cstheme="majorHAnsi"/>
          <w:b/>
          <w:bCs/>
          <w:sz w:val="20"/>
          <w:szCs w:val="20"/>
        </w:rPr>
        <w:t>Beneficiar:</w:t>
      </w:r>
      <w:r w:rsidRPr="00447AEB">
        <w:rPr>
          <w:rFonts w:ascii="DejaVuSans" w:hAnsi="DejaVuSans" w:cstheme="majorHAnsi"/>
          <w:sz w:val="20"/>
          <w:szCs w:val="20"/>
        </w:rPr>
        <w:t xml:space="preserve"> </w:t>
      </w:r>
      <w:bookmarkStart w:id="0" w:name="_Hlk194416713"/>
      <w:r w:rsidR="00545A2C" w:rsidRPr="00447AEB">
        <w:rPr>
          <w:rFonts w:ascii="DejaVuSans" w:hAnsi="DejaVuSans" w:cstheme="majorHAnsi"/>
          <w:b/>
          <w:bCs/>
          <w:kern w:val="0"/>
          <w:sz w:val="20"/>
          <w:szCs w:val="20"/>
        </w:rPr>
        <w:t>JUDEȚUL CĂLĂRAȘI/CONSILUL JUDEȚEAN CĂLĂRAȘI</w:t>
      </w:r>
    </w:p>
    <w:bookmarkEnd w:id="0"/>
    <w:p w14:paraId="2C1077BE" w14:textId="2BFCC9C2" w:rsidR="009347A4" w:rsidRPr="00447AEB" w:rsidRDefault="009347A4" w:rsidP="00545A2C">
      <w:pPr>
        <w:autoSpaceDE w:val="0"/>
        <w:autoSpaceDN w:val="0"/>
        <w:adjustRightInd w:val="0"/>
        <w:spacing w:line="276" w:lineRule="auto"/>
        <w:rPr>
          <w:rFonts w:ascii="DejaVuSans" w:hAnsi="DejaVuSans" w:cstheme="majorHAnsi"/>
          <w:kern w:val="0"/>
          <w:sz w:val="20"/>
          <w:szCs w:val="20"/>
        </w:rPr>
      </w:pPr>
      <w:r w:rsidRPr="00447AEB">
        <w:rPr>
          <w:rFonts w:ascii="DejaVuSans" w:hAnsi="DejaVuSans" w:cstheme="majorHAnsi"/>
          <w:b/>
          <w:bCs/>
          <w:sz w:val="20"/>
          <w:szCs w:val="20"/>
        </w:rPr>
        <w:t>Obictivul general:</w:t>
      </w:r>
      <w:r w:rsidRPr="00447AEB">
        <w:rPr>
          <w:rFonts w:ascii="DejaVuSans" w:hAnsi="DejaVuSans" w:cstheme="majorHAnsi"/>
          <w:sz w:val="20"/>
          <w:szCs w:val="20"/>
        </w:rPr>
        <w:t xml:space="preserve"> </w:t>
      </w:r>
      <w:r w:rsidR="00545A2C" w:rsidRPr="00447AEB">
        <w:rPr>
          <w:rFonts w:ascii="DejaVuSans" w:hAnsi="DejaVuSans" w:cstheme="majorHAnsi"/>
          <w:kern w:val="0"/>
          <w:sz w:val="20"/>
          <w:szCs w:val="20"/>
        </w:rPr>
        <w:t>Obiectivul general al proiectului este asigurarea accesului pacientilor adulti cu boli cronice progresive sau incurabile la ingrijire paleativa de baza si specializate, prin constructia si dotarea unui centru medical de ingrijiri paliative.</w:t>
      </w:r>
    </w:p>
    <w:p w14:paraId="6FB6C111" w14:textId="37CFACA7" w:rsidR="009347A4" w:rsidRPr="00447AEB" w:rsidRDefault="009347A4">
      <w:pPr>
        <w:rPr>
          <w:rFonts w:ascii="DejaVuSans" w:hAnsi="DejaVuSans" w:cstheme="majorHAnsi"/>
          <w:b/>
          <w:bCs/>
          <w:sz w:val="20"/>
          <w:szCs w:val="20"/>
        </w:rPr>
      </w:pPr>
      <w:r w:rsidRPr="00447AEB">
        <w:rPr>
          <w:rFonts w:ascii="DejaVuSans" w:hAnsi="DejaVuSans" w:cstheme="majorHAnsi"/>
          <w:b/>
          <w:bCs/>
          <w:sz w:val="20"/>
          <w:szCs w:val="20"/>
        </w:rPr>
        <w:t>Obiective Specifice:</w:t>
      </w:r>
    </w:p>
    <w:p w14:paraId="22783C66" w14:textId="77777777" w:rsidR="00545A2C" w:rsidRPr="00447AEB" w:rsidRDefault="00545A2C" w:rsidP="00545A2C">
      <w:pPr>
        <w:rPr>
          <w:rFonts w:ascii="DejaVuSans" w:hAnsi="DejaVuSans" w:cstheme="majorHAnsi"/>
          <w:noProof w:val="0"/>
          <w:sz w:val="20"/>
          <w:szCs w:val="20"/>
        </w:rPr>
      </w:pPr>
      <w:r w:rsidRPr="00447AEB">
        <w:rPr>
          <w:rFonts w:ascii="DejaVuSans" w:hAnsi="DejaVuSans" w:cstheme="majorHAnsi"/>
          <w:noProof w:val="0"/>
          <w:sz w:val="20"/>
          <w:szCs w:val="20"/>
        </w:rPr>
        <w:t>1. Constructia si dotarea unui centru medical de ingrijiri paliative. Prin proiect se va crea infrastructura pentru serviciile publice de ingrijirii paliative prin constructia si dotarea unui centru medical de ingrijiri paliative astfel incat sa asigure spatii moderne si functionale, care sa raspunda cerintelor actuale ale pacientilor si personalului medical. Clădirea nou propusă va avea un regim de înălțime P+1, cu o amprentă la sol de 1.115,42 mp și o suprafață desfășurată totală de 2.230,84 mp.</w:t>
      </w:r>
    </w:p>
    <w:p w14:paraId="79B1EB4B" w14:textId="77777777" w:rsidR="00545A2C" w:rsidRPr="00447AEB" w:rsidRDefault="00545A2C" w:rsidP="00545A2C">
      <w:pPr>
        <w:rPr>
          <w:rFonts w:ascii="DejaVuSans" w:hAnsi="DejaVuSans" w:cstheme="majorHAnsi"/>
          <w:noProof w:val="0"/>
          <w:sz w:val="20"/>
          <w:szCs w:val="20"/>
        </w:rPr>
      </w:pPr>
      <w:r w:rsidRPr="00447AEB">
        <w:rPr>
          <w:rFonts w:ascii="DejaVuSans" w:hAnsi="DejaVuSans" w:cstheme="majorHAnsi"/>
          <w:noProof w:val="0"/>
          <w:sz w:val="20"/>
          <w:szCs w:val="20"/>
        </w:rPr>
        <w:t>2. Cresterea gradului de accesibilitate a populatiei la servicii publice de ingrijiri paliative durabile si de inalta calitate si facilitarea accesului pacientilor eligibili, in mod echitabil.</w:t>
      </w:r>
    </w:p>
    <w:p w14:paraId="399C9F12" w14:textId="77777777" w:rsidR="00545A2C" w:rsidRPr="00447AEB" w:rsidRDefault="00545A2C" w:rsidP="00545A2C">
      <w:pPr>
        <w:rPr>
          <w:rFonts w:ascii="DejaVuSans" w:hAnsi="DejaVuSans" w:cstheme="majorHAnsi"/>
          <w:noProof w:val="0"/>
          <w:sz w:val="20"/>
          <w:szCs w:val="20"/>
        </w:rPr>
      </w:pPr>
      <w:r w:rsidRPr="00447AEB">
        <w:rPr>
          <w:rFonts w:ascii="DejaVuSans" w:hAnsi="DejaVuSans" w:cstheme="majorHAnsi"/>
          <w:noProof w:val="0"/>
          <w:sz w:val="20"/>
          <w:szCs w:val="20"/>
        </w:rPr>
        <w:t>3. Eficienta utilizarii resurselor prin proiectarea de lucrari si achizitionarea de echipamente ce conduc la reducerea consumului de resurse. Proiectul propune lucrari si achizitionarea de echipamente ce conduc la reducerea consumului de energie primara si la obtinerea de energie din surse regenerabile, respectiv clădirea respectă cerințele de performanță ale unei construcții NZEB.</w:t>
      </w:r>
    </w:p>
    <w:p w14:paraId="64A7A36F" w14:textId="7DDC8EA5" w:rsidR="00EB0B2E" w:rsidRPr="00447AEB" w:rsidRDefault="00545A2C" w:rsidP="00545A2C">
      <w:pPr>
        <w:rPr>
          <w:rFonts w:ascii="DejaVuSans" w:hAnsi="DejaVuSans" w:cstheme="majorHAnsi"/>
          <w:sz w:val="20"/>
          <w:szCs w:val="20"/>
        </w:rPr>
      </w:pPr>
      <w:r w:rsidRPr="00447AEB">
        <w:rPr>
          <w:rFonts w:ascii="DejaVuSans" w:hAnsi="DejaVuSans" w:cstheme="majorHAnsi"/>
          <w:noProof w:val="0"/>
          <w:sz w:val="20"/>
          <w:szCs w:val="20"/>
        </w:rPr>
        <w:t>4. Maximizarea efectelor pozitive asupra mediului prin implementarea de masuri ce respectara principiul DNSH si imunizarea infrastructurii la schimbari climatice.</w:t>
      </w:r>
      <w:bookmarkStart w:id="1" w:name="_Hlk194073456"/>
    </w:p>
    <w:bookmarkEnd w:id="1"/>
    <w:p w14:paraId="439A5917" w14:textId="77777777" w:rsidR="00545A2C" w:rsidRPr="00447AEB" w:rsidRDefault="00545A2C" w:rsidP="00545A2C">
      <w:pPr>
        <w:spacing w:line="276" w:lineRule="auto"/>
        <w:rPr>
          <w:rFonts w:ascii="DejaVuSans" w:hAnsi="DejaVuSans"/>
          <w:sz w:val="20"/>
          <w:szCs w:val="20"/>
        </w:rPr>
      </w:pPr>
      <w:r w:rsidRPr="00447AEB">
        <w:rPr>
          <w:rFonts w:ascii="DejaVuSans" w:hAnsi="DejaVuSans"/>
          <w:sz w:val="20"/>
          <w:szCs w:val="20"/>
        </w:rPr>
        <w:t xml:space="preserve">Data de începere: </w:t>
      </w:r>
      <w:r w:rsidRPr="00447AEB">
        <w:rPr>
          <w:rFonts w:ascii="DejaVuSans" w:hAnsi="DejaVuSans"/>
          <w:b/>
          <w:bCs/>
          <w:sz w:val="20"/>
          <w:szCs w:val="20"/>
        </w:rPr>
        <w:t>30.10.2025</w:t>
      </w:r>
    </w:p>
    <w:p w14:paraId="02EB2153" w14:textId="24410282" w:rsidR="00EB0B2E" w:rsidRPr="00447AEB" w:rsidRDefault="00545A2C" w:rsidP="00545A2C">
      <w:pPr>
        <w:spacing w:line="276" w:lineRule="auto"/>
        <w:rPr>
          <w:rFonts w:ascii="DejaVuSans" w:hAnsi="DejaVuSans"/>
          <w:b/>
          <w:bCs/>
          <w:sz w:val="20"/>
          <w:szCs w:val="20"/>
        </w:rPr>
      </w:pPr>
      <w:r w:rsidRPr="00447AEB">
        <w:rPr>
          <w:rFonts w:ascii="DejaVuSans" w:hAnsi="DejaVuSans"/>
          <w:sz w:val="20"/>
          <w:szCs w:val="20"/>
        </w:rPr>
        <w:t xml:space="preserve">Data de finalizare: </w:t>
      </w:r>
      <w:r w:rsidRPr="00447AEB">
        <w:rPr>
          <w:rFonts w:ascii="DejaVuSans" w:hAnsi="DejaVuSans"/>
          <w:b/>
          <w:bCs/>
          <w:sz w:val="20"/>
          <w:szCs w:val="20"/>
        </w:rPr>
        <w:t>30.10.2029</w:t>
      </w:r>
    </w:p>
    <w:p w14:paraId="05EC5B93" w14:textId="4F3856E3" w:rsidR="00E02A51" w:rsidRPr="00447AEB" w:rsidRDefault="00E02A51" w:rsidP="00545A2C">
      <w:pPr>
        <w:spacing w:line="276" w:lineRule="auto"/>
        <w:rPr>
          <w:rFonts w:ascii="DejaVuSans" w:hAnsi="DejaVuSans"/>
          <w:sz w:val="20"/>
          <w:szCs w:val="20"/>
        </w:rPr>
      </w:pPr>
      <w:r w:rsidRPr="00447AEB">
        <w:rPr>
          <w:rFonts w:ascii="DejaVuSans" w:hAnsi="DejaVuSans"/>
          <w:b/>
          <w:bCs/>
          <w:sz w:val="20"/>
          <w:szCs w:val="20"/>
        </w:rPr>
        <w:t>Rezultate: Constructie noua si dotare a unitatii sanitare publice care furnizeaza servicii de paliatie de nivel 3</w:t>
      </w:r>
    </w:p>
    <w:p w14:paraId="25255F77" w14:textId="15170B03" w:rsidR="00945B9B" w:rsidRPr="00447AEB" w:rsidRDefault="005B2529" w:rsidP="00945B9B">
      <w:pPr>
        <w:spacing w:line="276" w:lineRule="auto"/>
        <w:rPr>
          <w:rFonts w:ascii="DejaVuSans" w:hAnsi="DejaVuSans" w:cstheme="majorHAnsi"/>
          <w:sz w:val="20"/>
          <w:szCs w:val="20"/>
        </w:rPr>
      </w:pPr>
      <w:r w:rsidRPr="00447AEB">
        <w:rPr>
          <w:rFonts w:ascii="DejaVuSans" w:hAnsi="DejaVuSans" w:cstheme="majorHAnsi"/>
          <w:b/>
          <w:bCs/>
          <w:sz w:val="20"/>
          <w:szCs w:val="20"/>
        </w:rPr>
        <w:t>Valoarea totală a proiectului</w:t>
      </w:r>
      <w:r w:rsidRPr="00447AEB">
        <w:rPr>
          <w:rFonts w:ascii="DejaVuSans" w:hAnsi="DejaVuSans" w:cstheme="majorHAnsi"/>
          <w:sz w:val="20"/>
          <w:szCs w:val="20"/>
        </w:rPr>
        <w:t xml:space="preserve"> (lei): </w:t>
      </w:r>
      <w:r w:rsidR="00545A2C" w:rsidRPr="00447AEB">
        <w:rPr>
          <w:rFonts w:ascii="DejaVuSans" w:hAnsi="DejaVuSans"/>
          <w:b/>
          <w:bCs/>
          <w:sz w:val="20"/>
          <w:szCs w:val="20"/>
        </w:rPr>
        <w:t>20.901.041,23 lei</w:t>
      </w:r>
      <w:r w:rsidRPr="00447AEB">
        <w:rPr>
          <w:rFonts w:ascii="DejaVuSans" w:hAnsi="DejaVuSans" w:cstheme="majorHAnsi"/>
          <w:sz w:val="20"/>
          <w:szCs w:val="20"/>
        </w:rPr>
        <w:t>, din care</w:t>
      </w:r>
      <w:r w:rsidR="00945B9B" w:rsidRPr="00447AEB">
        <w:rPr>
          <w:rFonts w:ascii="DejaVuSans" w:hAnsi="DejaVuSans" w:cstheme="majorHAnsi"/>
          <w:sz w:val="20"/>
          <w:szCs w:val="20"/>
        </w:rPr>
        <w:t xml:space="preserve">, </w:t>
      </w:r>
      <w:r w:rsidR="00945B9B" w:rsidRPr="00447AEB">
        <w:rPr>
          <w:rFonts w:ascii="DejaVuSans" w:hAnsi="DejaVuSans" w:cstheme="majorHAnsi"/>
          <w:b/>
          <w:bCs/>
          <w:sz w:val="20"/>
          <w:szCs w:val="20"/>
        </w:rPr>
        <w:t>Valoarea finanțarii nerambursabilă</w:t>
      </w:r>
      <w:r w:rsidR="00945B9B" w:rsidRPr="00447AEB">
        <w:rPr>
          <w:rFonts w:ascii="DejaVuSans" w:hAnsi="DejaVuSans" w:cstheme="majorHAnsi"/>
          <w:sz w:val="20"/>
          <w:szCs w:val="20"/>
        </w:rPr>
        <w:t xml:space="preserve">: </w:t>
      </w:r>
      <w:r w:rsidR="00545A2C" w:rsidRPr="00447AEB">
        <w:rPr>
          <w:rFonts w:ascii="DejaVuSans" w:hAnsi="DejaVuSans" w:cstheme="majorHAnsi"/>
          <w:sz w:val="20"/>
          <w:szCs w:val="20"/>
        </w:rPr>
        <w:t>12.268.325,28</w:t>
      </w:r>
      <w:r w:rsidR="00945B9B" w:rsidRPr="00447AEB">
        <w:rPr>
          <w:rFonts w:ascii="DejaVuSans" w:hAnsi="DejaVuSans" w:cstheme="majorHAnsi"/>
          <w:sz w:val="20"/>
          <w:szCs w:val="20"/>
        </w:rPr>
        <w:t xml:space="preserve"> lei – 98%.</w:t>
      </w:r>
    </w:p>
    <w:p w14:paraId="6B741D95" w14:textId="7EF92C77" w:rsidR="00945B9B" w:rsidRPr="00447AEB" w:rsidRDefault="00945B9B" w:rsidP="00945B9B">
      <w:pPr>
        <w:pStyle w:val="BodyText"/>
        <w:ind w:left="0"/>
        <w:jc w:val="both"/>
        <w:rPr>
          <w:rFonts w:ascii="DejaVuSans" w:eastAsiaTheme="minorHAnsi" w:hAnsi="DejaVuSans" w:cstheme="majorHAnsi"/>
          <w:b w:val="0"/>
          <w:bCs w:val="0"/>
          <w:kern w:val="2"/>
          <w:sz w:val="20"/>
          <w:szCs w:val="20"/>
          <w14:ligatures w14:val="standardContextual"/>
        </w:rPr>
      </w:pPr>
      <w:r w:rsidRPr="00447AEB">
        <w:rPr>
          <w:rFonts w:ascii="DejaVuSans" w:eastAsiaTheme="minorHAnsi" w:hAnsi="DejaVuSans" w:cstheme="majorHAnsi"/>
          <w:noProof/>
          <w:kern w:val="2"/>
          <w:sz w:val="20"/>
          <w:szCs w:val="20"/>
          <w14:ligatures w14:val="standardContextual"/>
        </w:rPr>
        <w:t>Valoare eligibilă nerambursabilă din partea fondurilor (FEDR/FSE+/FC/FTJ)</w:t>
      </w:r>
      <w:r w:rsidRPr="00447AEB">
        <w:rPr>
          <w:rFonts w:ascii="DejaVuSans" w:hAnsi="DejaVuSans" w:cstheme="majorHAnsi"/>
          <w:b w:val="0"/>
          <w:bCs w:val="0"/>
          <w:sz w:val="20"/>
          <w:szCs w:val="20"/>
          <w:lang w:val="en-US"/>
        </w:rPr>
        <w:t xml:space="preserve"> -   </w:t>
      </w:r>
      <w:r w:rsidR="00545A2C" w:rsidRPr="00447AEB">
        <w:rPr>
          <w:rFonts w:ascii="DejaVuSans" w:eastAsiaTheme="minorHAnsi" w:hAnsi="DejaVuSans" w:cstheme="majorHAnsi"/>
          <w:b w:val="0"/>
          <w:bCs w:val="0"/>
          <w:kern w:val="2"/>
          <w:sz w:val="20"/>
          <w:szCs w:val="20"/>
          <w14:ligatures w14:val="standardContextual"/>
        </w:rPr>
        <w:t xml:space="preserve">6.221.793,54 </w:t>
      </w:r>
      <w:r w:rsidRPr="00447AEB">
        <w:rPr>
          <w:rFonts w:ascii="DejaVuSans" w:eastAsiaTheme="minorHAnsi" w:hAnsi="DejaVuSans" w:cstheme="majorHAnsi"/>
          <w:b w:val="0"/>
          <w:bCs w:val="0"/>
          <w:kern w:val="2"/>
          <w:sz w:val="20"/>
          <w:szCs w:val="20"/>
          <w14:ligatures w14:val="standardContextual"/>
        </w:rPr>
        <w:t xml:space="preserve">lei – </w:t>
      </w:r>
      <w:r w:rsidR="00545A2C" w:rsidRPr="00447AEB">
        <w:rPr>
          <w:rFonts w:ascii="DejaVuSans" w:eastAsiaTheme="minorHAnsi" w:hAnsi="DejaVuSans" w:cstheme="majorHAnsi"/>
          <w:b w:val="0"/>
          <w:bCs w:val="0"/>
          <w:kern w:val="2"/>
          <w:sz w:val="20"/>
          <w:szCs w:val="20"/>
          <w14:ligatures w14:val="standardContextual"/>
        </w:rPr>
        <w:t>49,70</w:t>
      </w:r>
      <w:r w:rsidRPr="00447AEB">
        <w:rPr>
          <w:rFonts w:ascii="DejaVuSans" w:eastAsiaTheme="minorHAnsi" w:hAnsi="DejaVuSans" w:cstheme="majorHAnsi"/>
          <w:b w:val="0"/>
          <w:bCs w:val="0"/>
          <w:kern w:val="2"/>
          <w:sz w:val="20"/>
          <w:szCs w:val="20"/>
          <w14:ligatures w14:val="standardContextual"/>
        </w:rPr>
        <w:t>%</w:t>
      </w:r>
    </w:p>
    <w:p w14:paraId="609FC73A" w14:textId="5FB7D3EB" w:rsidR="00945B9B" w:rsidRPr="00447AEB" w:rsidRDefault="00945B9B" w:rsidP="00945B9B">
      <w:pPr>
        <w:pStyle w:val="BodyText"/>
        <w:ind w:left="0"/>
        <w:jc w:val="both"/>
        <w:rPr>
          <w:rFonts w:ascii="DejaVuSans" w:eastAsiaTheme="minorHAnsi" w:hAnsi="DejaVuSans" w:cstheme="majorHAnsi"/>
          <w:b w:val="0"/>
          <w:bCs w:val="0"/>
          <w:kern w:val="2"/>
          <w:sz w:val="20"/>
          <w:szCs w:val="20"/>
          <w14:ligatures w14:val="standardContextual"/>
        </w:rPr>
      </w:pPr>
      <w:r w:rsidRPr="00447AEB">
        <w:rPr>
          <w:rFonts w:ascii="DejaVuSans" w:eastAsiaTheme="minorHAnsi" w:hAnsi="DejaVuSans" w:cstheme="majorHAnsi"/>
          <w:noProof/>
          <w:kern w:val="2"/>
          <w:sz w:val="20"/>
          <w:szCs w:val="20"/>
          <w14:ligatures w14:val="standardContextual"/>
        </w:rPr>
        <w:t>Valoarea eligibilă nerambursabilă din bugetul national -</w:t>
      </w:r>
      <w:r w:rsidRPr="00447AEB">
        <w:rPr>
          <w:rFonts w:ascii="DejaVuSans" w:hAnsi="DejaVuSans" w:cstheme="majorHAnsi"/>
          <w:b w:val="0"/>
          <w:bCs w:val="0"/>
          <w:sz w:val="20"/>
          <w:szCs w:val="20"/>
          <w:lang w:val="en-US"/>
        </w:rPr>
        <w:t xml:space="preserve">   </w:t>
      </w:r>
      <w:r w:rsidR="00545A2C" w:rsidRPr="00447AEB">
        <w:rPr>
          <w:rFonts w:ascii="DejaVuSans" w:eastAsiaTheme="minorHAnsi" w:hAnsi="DejaVuSans" w:cstheme="majorHAnsi"/>
          <w:b w:val="0"/>
          <w:bCs w:val="0"/>
          <w:kern w:val="2"/>
          <w:sz w:val="20"/>
          <w:szCs w:val="20"/>
          <w14:ligatures w14:val="standardContextual"/>
        </w:rPr>
        <w:t>6.046.531,74</w:t>
      </w:r>
      <w:r w:rsidRPr="00447AEB">
        <w:rPr>
          <w:rFonts w:ascii="DejaVuSans" w:eastAsiaTheme="minorHAnsi" w:hAnsi="DejaVuSans" w:cstheme="majorHAnsi"/>
          <w:b w:val="0"/>
          <w:bCs w:val="0"/>
          <w:kern w:val="2"/>
          <w:sz w:val="20"/>
          <w:szCs w:val="20"/>
          <w14:ligatures w14:val="standardContextual"/>
        </w:rPr>
        <w:t xml:space="preserve"> – </w:t>
      </w:r>
      <w:r w:rsidR="00545A2C" w:rsidRPr="00447AEB">
        <w:rPr>
          <w:rFonts w:ascii="DejaVuSans" w:eastAsiaTheme="minorHAnsi" w:hAnsi="DejaVuSans" w:cstheme="majorHAnsi"/>
          <w:b w:val="0"/>
          <w:bCs w:val="0"/>
          <w:kern w:val="2"/>
          <w:sz w:val="20"/>
          <w:szCs w:val="20"/>
          <w14:ligatures w14:val="standardContextual"/>
        </w:rPr>
        <w:t>48,30</w:t>
      </w:r>
      <w:r w:rsidRPr="00447AEB">
        <w:rPr>
          <w:rFonts w:ascii="DejaVuSans" w:eastAsiaTheme="minorHAnsi" w:hAnsi="DejaVuSans" w:cstheme="majorHAnsi"/>
          <w:b w:val="0"/>
          <w:bCs w:val="0"/>
          <w:kern w:val="2"/>
          <w:sz w:val="20"/>
          <w:szCs w:val="20"/>
          <w14:ligatures w14:val="standardContextual"/>
        </w:rPr>
        <w:t xml:space="preserve">%. </w:t>
      </w:r>
    </w:p>
    <w:p w14:paraId="6CAADDB3" w14:textId="70045C3C" w:rsidR="00945B9B" w:rsidRPr="00447AEB" w:rsidRDefault="00945B9B" w:rsidP="00945B9B">
      <w:pPr>
        <w:pStyle w:val="BodyText"/>
        <w:ind w:left="0"/>
        <w:jc w:val="both"/>
        <w:rPr>
          <w:rFonts w:ascii="DejaVuSans" w:hAnsi="DejaVuSans" w:cstheme="majorHAnsi"/>
          <w:b w:val="0"/>
          <w:bCs w:val="0"/>
          <w:sz w:val="20"/>
          <w:szCs w:val="20"/>
          <w:lang w:val="en-US"/>
        </w:rPr>
      </w:pPr>
      <w:r w:rsidRPr="00447AEB">
        <w:rPr>
          <w:rFonts w:ascii="DejaVuSans" w:eastAsiaTheme="minorHAnsi" w:hAnsi="DejaVuSans" w:cstheme="majorHAnsi"/>
          <w:noProof/>
          <w:kern w:val="2"/>
          <w:sz w:val="20"/>
          <w:szCs w:val="20"/>
          <w14:ligatures w14:val="standardContextual"/>
        </w:rPr>
        <w:t>Valoare cofinanțare eligibilă beneficiar</w:t>
      </w:r>
      <w:r w:rsidRPr="00447AEB">
        <w:rPr>
          <w:rFonts w:ascii="DejaVuSans" w:hAnsi="DejaVuSans" w:cstheme="majorHAnsi"/>
          <w:b w:val="0"/>
          <w:bCs w:val="0"/>
          <w:sz w:val="20"/>
          <w:szCs w:val="20"/>
          <w:lang w:val="en-US"/>
        </w:rPr>
        <w:t xml:space="preserve"> -   </w:t>
      </w:r>
      <w:r w:rsidR="00545A2C" w:rsidRPr="00447AEB">
        <w:rPr>
          <w:rFonts w:ascii="DejaVuSans" w:eastAsiaTheme="minorHAnsi" w:hAnsi="DejaVuSans" w:cstheme="majorHAnsi"/>
          <w:b w:val="0"/>
          <w:bCs w:val="0"/>
          <w:kern w:val="2"/>
          <w:sz w:val="20"/>
          <w:szCs w:val="20"/>
          <w14:ligatures w14:val="standardContextual"/>
        </w:rPr>
        <w:t>250.373,99</w:t>
      </w:r>
      <w:r w:rsidRPr="00447AEB">
        <w:rPr>
          <w:rFonts w:ascii="DejaVuSans" w:eastAsiaTheme="minorHAnsi" w:hAnsi="DejaVuSans" w:cstheme="majorHAnsi"/>
          <w:b w:val="0"/>
          <w:bCs w:val="0"/>
          <w:kern w:val="2"/>
          <w:sz w:val="20"/>
          <w:szCs w:val="20"/>
          <w14:ligatures w14:val="standardContextual"/>
        </w:rPr>
        <w:t xml:space="preserve"> – 2%.</w:t>
      </w:r>
      <w:r w:rsidRPr="00447AEB">
        <w:rPr>
          <w:rFonts w:ascii="DejaVuSans" w:hAnsi="DejaVuSans" w:cstheme="majorHAnsi"/>
          <w:b w:val="0"/>
          <w:bCs w:val="0"/>
          <w:sz w:val="20"/>
          <w:szCs w:val="20"/>
          <w:lang w:val="en-US"/>
        </w:rPr>
        <w:t xml:space="preserve"> </w:t>
      </w:r>
    </w:p>
    <w:p w14:paraId="20BEBF9B" w14:textId="1D51149E" w:rsidR="009347A4" w:rsidRPr="00447AEB" w:rsidRDefault="0071362F">
      <w:pPr>
        <w:rPr>
          <w:rFonts w:ascii="DejaVuSans" w:hAnsi="DejaVuSans" w:cstheme="majorHAnsi"/>
          <w:sz w:val="20"/>
          <w:szCs w:val="20"/>
        </w:rPr>
      </w:pPr>
      <w:r w:rsidRPr="00447AEB">
        <w:rPr>
          <w:rFonts w:ascii="DejaVuSans" w:hAnsi="DejaVuSans" w:cstheme="majorHAnsi"/>
          <w:b/>
          <w:bCs/>
          <w:sz w:val="20"/>
          <w:szCs w:val="20"/>
        </w:rPr>
        <w:t>Cod SMIS</w:t>
      </w:r>
      <w:r w:rsidRPr="00447AEB">
        <w:rPr>
          <w:rFonts w:ascii="DejaVuSans" w:hAnsi="DejaVuSans" w:cstheme="majorHAnsi"/>
          <w:sz w:val="20"/>
          <w:szCs w:val="20"/>
        </w:rPr>
        <w:t xml:space="preserve">: </w:t>
      </w:r>
      <w:r w:rsidR="00545A2C" w:rsidRPr="00447AEB">
        <w:rPr>
          <w:rFonts w:ascii="DejaVuSans" w:hAnsi="DejaVuSans" w:cstheme="majorHAnsi"/>
          <w:sz w:val="20"/>
          <w:szCs w:val="20"/>
        </w:rPr>
        <w:t>347355</w:t>
      </w:r>
    </w:p>
    <w:p w14:paraId="0F94BC67" w14:textId="0F949C63" w:rsidR="00E02A51" w:rsidRPr="00E02A51" w:rsidRDefault="00E02A51">
      <w:pPr>
        <w:rPr>
          <w:rFonts w:ascii="DejaVuSans" w:hAnsi="DejaVuSans" w:cstheme="majorHAnsi"/>
          <w:sz w:val="18"/>
          <w:szCs w:val="18"/>
        </w:rPr>
      </w:pPr>
      <w:r w:rsidRPr="00E02A51">
        <w:rPr>
          <w:rFonts w:ascii="DejaVuSans" w:hAnsi="DejaVuSans" w:cstheme="majorHAnsi"/>
          <w:sz w:val="18"/>
          <w:szCs w:val="18"/>
        </w:rPr>
        <w:t>Pentru informații detaliate despre celelalte programe cofinanțate de Uniunea Europeană, vă invităm să vizitați: https://mfe.gov.ro/,https://oportunitati-ue.gov.ro/ și www.fonduri-ue.ro.</w:t>
      </w:r>
    </w:p>
    <w:sectPr w:rsidR="00E02A51" w:rsidRPr="00E02A5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3BB7" w14:textId="77777777" w:rsidR="009347A4" w:rsidRDefault="009347A4" w:rsidP="009347A4">
      <w:pPr>
        <w:spacing w:before="0" w:after="0" w:line="240" w:lineRule="auto"/>
      </w:pPr>
      <w:r>
        <w:separator/>
      </w:r>
    </w:p>
  </w:endnote>
  <w:endnote w:type="continuationSeparator" w:id="0">
    <w:p w14:paraId="6CFE4375" w14:textId="77777777" w:rsidR="009347A4" w:rsidRDefault="009347A4" w:rsidP="009347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C7AE" w14:textId="14651CDE" w:rsidR="0071362F" w:rsidRPr="0071362F" w:rsidRDefault="0071362F" w:rsidP="0071362F">
    <w:pPr>
      <w:pStyle w:val="Footer"/>
      <w:rPr>
        <w:lang w:val="ro-RO"/>
      </w:rPr>
    </w:pPr>
    <w:r w:rsidRPr="0071362F">
      <w:rPr>
        <w:noProof/>
        <w:lang w:val="ro-RO"/>
      </w:rPr>
      <w:drawing>
        <wp:anchor distT="0" distB="0" distL="0" distR="0" simplePos="0" relativeHeight="251659264" behindDoc="0" locked="0" layoutInCell="1" allowOverlap="1" wp14:anchorId="1DAA8304" wp14:editId="6CE12569">
          <wp:simplePos x="0" y="0"/>
          <wp:positionH relativeFrom="page">
            <wp:posOffset>685800</wp:posOffset>
          </wp:positionH>
          <wp:positionV relativeFrom="paragraph">
            <wp:posOffset>880110</wp:posOffset>
          </wp:positionV>
          <wp:extent cx="5943600" cy="119380"/>
          <wp:effectExtent l="0" t="0" r="0" b="0"/>
          <wp:wrapTopAndBottom/>
          <wp:docPr id="18176813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9380"/>
                  </a:xfrm>
                  <a:prstGeom prst="rect">
                    <a:avLst/>
                  </a:prstGeom>
                  <a:noFill/>
                </pic:spPr>
              </pic:pic>
            </a:graphicData>
          </a:graphic>
          <wp14:sizeRelH relativeFrom="page">
            <wp14:pctWidth>0</wp14:pctWidth>
          </wp14:sizeRelH>
          <wp14:sizeRelV relativeFrom="page">
            <wp14:pctHeight>0</wp14:pctHeight>
          </wp14:sizeRelV>
        </wp:anchor>
      </w:drawing>
    </w:r>
  </w:p>
  <w:p w14:paraId="4BC71723" w14:textId="77777777" w:rsidR="0071362F" w:rsidRDefault="00713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FF0F" w14:textId="77777777" w:rsidR="009347A4" w:rsidRDefault="009347A4" w:rsidP="009347A4">
      <w:pPr>
        <w:spacing w:before="0" w:after="0" w:line="240" w:lineRule="auto"/>
      </w:pPr>
      <w:r>
        <w:separator/>
      </w:r>
    </w:p>
  </w:footnote>
  <w:footnote w:type="continuationSeparator" w:id="0">
    <w:p w14:paraId="3CF79E47" w14:textId="77777777" w:rsidR="009347A4" w:rsidRDefault="009347A4" w:rsidP="009347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13FB" w14:textId="4E83093A" w:rsidR="0071362F" w:rsidRPr="0071362F" w:rsidRDefault="0071362F" w:rsidP="0071362F">
    <w:pPr>
      <w:pStyle w:val="Header"/>
    </w:pPr>
    <w:r w:rsidRPr="0071362F">
      <w:rPr>
        <w:noProof/>
      </w:rPr>
      <w:drawing>
        <wp:inline distT="0" distB="0" distL="0" distR="0" wp14:anchorId="7FE56A9B" wp14:editId="771979C6">
          <wp:extent cx="2057400" cy="657225"/>
          <wp:effectExtent l="0" t="0" r="0" b="9525"/>
          <wp:docPr id="18291898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57225"/>
                  </a:xfrm>
                  <a:prstGeom prst="rect">
                    <a:avLst/>
                  </a:prstGeom>
                  <a:noFill/>
                  <a:ln>
                    <a:noFill/>
                  </a:ln>
                </pic:spPr>
              </pic:pic>
            </a:graphicData>
          </a:graphic>
        </wp:inline>
      </w:drawing>
    </w:r>
    <w:r w:rsidRPr="0071362F">
      <w:t xml:space="preserve">           </w:t>
    </w:r>
    <w:r w:rsidRPr="0071362F">
      <w:rPr>
        <w:noProof/>
      </w:rPr>
      <w:drawing>
        <wp:inline distT="0" distB="0" distL="0" distR="0" wp14:anchorId="1F37BE50" wp14:editId="3F6ADD09">
          <wp:extent cx="933450" cy="762000"/>
          <wp:effectExtent l="0" t="0" r="0" b="0"/>
          <wp:docPr id="4782426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r w:rsidRPr="0071362F">
      <w:t xml:space="preserve">             </w:t>
    </w:r>
    <w:r w:rsidRPr="0071362F">
      <w:rPr>
        <w:noProof/>
      </w:rPr>
      <w:drawing>
        <wp:inline distT="0" distB="0" distL="0" distR="0" wp14:anchorId="388CBC3C" wp14:editId="071651CD">
          <wp:extent cx="2076450" cy="781050"/>
          <wp:effectExtent l="0" t="0" r="0" b="0"/>
          <wp:docPr id="1519549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76450" cy="781050"/>
                  </a:xfrm>
                  <a:prstGeom prst="rect">
                    <a:avLst/>
                  </a:prstGeom>
                  <a:noFill/>
                  <a:ln>
                    <a:noFill/>
                  </a:ln>
                </pic:spPr>
              </pic:pic>
            </a:graphicData>
          </a:graphic>
        </wp:inline>
      </w:drawing>
    </w:r>
    <w:r w:rsidRPr="0071362F">
      <w:t xml:space="preserve">                           </w:t>
    </w:r>
  </w:p>
  <w:p w14:paraId="19821D8F" w14:textId="77777777" w:rsidR="0071362F" w:rsidRPr="0071362F" w:rsidRDefault="0071362F">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46C0B"/>
    <w:multiLevelType w:val="hybridMultilevel"/>
    <w:tmpl w:val="28C0CB12"/>
    <w:lvl w:ilvl="0" w:tplc="FDE49A90">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7372B"/>
    <w:multiLevelType w:val="hybridMultilevel"/>
    <w:tmpl w:val="5EF6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008402">
    <w:abstractNumId w:val="1"/>
  </w:num>
  <w:num w:numId="2" w16cid:durableId="54337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BF"/>
    <w:rsid w:val="00131411"/>
    <w:rsid w:val="0015300A"/>
    <w:rsid w:val="001540BF"/>
    <w:rsid w:val="00180C5F"/>
    <w:rsid w:val="00242F0D"/>
    <w:rsid w:val="002A1A3D"/>
    <w:rsid w:val="0036391F"/>
    <w:rsid w:val="00406B6D"/>
    <w:rsid w:val="0044669C"/>
    <w:rsid w:val="00447AEB"/>
    <w:rsid w:val="0047199B"/>
    <w:rsid w:val="004C3D97"/>
    <w:rsid w:val="00525B21"/>
    <w:rsid w:val="00545A2C"/>
    <w:rsid w:val="005B2529"/>
    <w:rsid w:val="0071362F"/>
    <w:rsid w:val="0074508C"/>
    <w:rsid w:val="007D3441"/>
    <w:rsid w:val="00876B9D"/>
    <w:rsid w:val="009347A4"/>
    <w:rsid w:val="00945B9B"/>
    <w:rsid w:val="00A10A47"/>
    <w:rsid w:val="00A45137"/>
    <w:rsid w:val="00AF68B6"/>
    <w:rsid w:val="00BE076C"/>
    <w:rsid w:val="00C57C65"/>
    <w:rsid w:val="00D36D67"/>
    <w:rsid w:val="00D44CAB"/>
    <w:rsid w:val="00E02A51"/>
    <w:rsid w:val="00EB0B2E"/>
    <w:rsid w:val="00F371B4"/>
    <w:rsid w:val="00F62E08"/>
    <w:rsid w:val="00FE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19115C"/>
  <w15:chartTrackingRefBased/>
  <w15:docId w15:val="{6C7D15EB-DB19-4F3D-96CA-09CCADA6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A4"/>
    <w:pPr>
      <w:spacing w:before="120" w:line="259" w:lineRule="auto"/>
      <w:jc w:val="both"/>
    </w:pPr>
    <w:rPr>
      <w:noProof/>
      <w:sz w:val="22"/>
      <w:szCs w:val="22"/>
      <w:lang w:val="ro-RO"/>
    </w:rPr>
  </w:style>
  <w:style w:type="paragraph" w:styleId="Heading1">
    <w:name w:val="heading 1"/>
    <w:basedOn w:val="Normal"/>
    <w:next w:val="Normal"/>
    <w:link w:val="Heading1Char"/>
    <w:uiPriority w:val="9"/>
    <w:qFormat/>
    <w:rsid w:val="001540BF"/>
    <w:pPr>
      <w:keepNext/>
      <w:keepLines/>
      <w:spacing w:before="360" w:after="80" w:line="278" w:lineRule="auto"/>
      <w:jc w:val="left"/>
      <w:outlineLvl w:val="0"/>
    </w:pPr>
    <w:rPr>
      <w:rFonts w:asciiTheme="majorHAnsi" w:eastAsiaTheme="majorEastAsia" w:hAnsiTheme="majorHAnsi" w:cstheme="majorBidi"/>
      <w:noProof w:val="0"/>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1540BF"/>
    <w:pPr>
      <w:keepNext/>
      <w:keepLines/>
      <w:spacing w:before="160" w:after="80" w:line="278" w:lineRule="auto"/>
      <w:jc w:val="left"/>
      <w:outlineLvl w:val="1"/>
    </w:pPr>
    <w:rPr>
      <w:rFonts w:asciiTheme="majorHAnsi" w:eastAsiaTheme="majorEastAsia" w:hAnsiTheme="majorHAnsi" w:cstheme="majorBidi"/>
      <w:noProof w:val="0"/>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1540BF"/>
    <w:pPr>
      <w:keepNext/>
      <w:keepLines/>
      <w:spacing w:before="160" w:after="80" w:line="278" w:lineRule="auto"/>
      <w:jc w:val="left"/>
      <w:outlineLvl w:val="2"/>
    </w:pPr>
    <w:rPr>
      <w:rFonts w:eastAsiaTheme="majorEastAsia" w:cstheme="majorBidi"/>
      <w:noProof w:val="0"/>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1540BF"/>
    <w:pPr>
      <w:keepNext/>
      <w:keepLines/>
      <w:spacing w:before="80" w:after="40" w:line="278" w:lineRule="auto"/>
      <w:jc w:val="left"/>
      <w:outlineLvl w:val="3"/>
    </w:pPr>
    <w:rPr>
      <w:rFonts w:eastAsiaTheme="majorEastAsia" w:cstheme="majorBidi"/>
      <w:i/>
      <w:iCs/>
      <w:noProof w:val="0"/>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1540BF"/>
    <w:pPr>
      <w:keepNext/>
      <w:keepLines/>
      <w:spacing w:before="80" w:after="40" w:line="278" w:lineRule="auto"/>
      <w:jc w:val="left"/>
      <w:outlineLvl w:val="4"/>
    </w:pPr>
    <w:rPr>
      <w:rFonts w:eastAsiaTheme="majorEastAsia" w:cstheme="majorBidi"/>
      <w:noProof w:val="0"/>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1540BF"/>
    <w:pPr>
      <w:keepNext/>
      <w:keepLines/>
      <w:spacing w:before="40" w:after="0" w:line="278" w:lineRule="auto"/>
      <w:jc w:val="left"/>
      <w:outlineLvl w:val="5"/>
    </w:pPr>
    <w:rPr>
      <w:rFonts w:eastAsiaTheme="majorEastAsia" w:cstheme="majorBidi"/>
      <w:i/>
      <w:iCs/>
      <w:noProof w:val="0"/>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1540BF"/>
    <w:pPr>
      <w:keepNext/>
      <w:keepLines/>
      <w:spacing w:before="40" w:after="0" w:line="278" w:lineRule="auto"/>
      <w:jc w:val="left"/>
      <w:outlineLvl w:val="6"/>
    </w:pPr>
    <w:rPr>
      <w:rFonts w:eastAsiaTheme="majorEastAsia" w:cstheme="majorBidi"/>
      <w:noProof w:val="0"/>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1540BF"/>
    <w:pPr>
      <w:keepNext/>
      <w:keepLines/>
      <w:spacing w:before="0" w:after="0" w:line="278" w:lineRule="auto"/>
      <w:jc w:val="left"/>
      <w:outlineLvl w:val="7"/>
    </w:pPr>
    <w:rPr>
      <w:rFonts w:eastAsiaTheme="majorEastAsia" w:cstheme="majorBidi"/>
      <w:i/>
      <w:iCs/>
      <w:noProof w:val="0"/>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1540BF"/>
    <w:pPr>
      <w:keepNext/>
      <w:keepLines/>
      <w:spacing w:before="0" w:after="0" w:line="278" w:lineRule="auto"/>
      <w:jc w:val="left"/>
      <w:outlineLvl w:val="8"/>
    </w:pPr>
    <w:rPr>
      <w:rFonts w:eastAsiaTheme="majorEastAsia" w:cstheme="majorBidi"/>
      <w:noProof w:val="0"/>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0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0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0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0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0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0BF"/>
    <w:rPr>
      <w:rFonts w:eastAsiaTheme="majorEastAsia" w:cstheme="majorBidi"/>
      <w:color w:val="272727" w:themeColor="text1" w:themeTint="D8"/>
    </w:rPr>
  </w:style>
  <w:style w:type="paragraph" w:styleId="Title">
    <w:name w:val="Title"/>
    <w:basedOn w:val="Normal"/>
    <w:next w:val="Normal"/>
    <w:link w:val="TitleChar"/>
    <w:uiPriority w:val="10"/>
    <w:qFormat/>
    <w:rsid w:val="001540BF"/>
    <w:pPr>
      <w:spacing w:before="0" w:after="80" w:line="240" w:lineRule="auto"/>
      <w:contextualSpacing/>
      <w:jc w:val="left"/>
    </w:pPr>
    <w:rPr>
      <w:rFonts w:asciiTheme="majorHAnsi" w:eastAsiaTheme="majorEastAsia" w:hAnsiTheme="majorHAnsi" w:cstheme="majorBidi"/>
      <w:noProof w:val="0"/>
      <w:spacing w:val="-10"/>
      <w:kern w:val="28"/>
      <w:sz w:val="56"/>
      <w:szCs w:val="56"/>
      <w:lang w:val="en-US"/>
    </w:rPr>
  </w:style>
  <w:style w:type="character" w:customStyle="1" w:styleId="TitleChar">
    <w:name w:val="Title Char"/>
    <w:basedOn w:val="DefaultParagraphFont"/>
    <w:link w:val="Title"/>
    <w:uiPriority w:val="10"/>
    <w:rsid w:val="00154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0BF"/>
    <w:pPr>
      <w:numPr>
        <w:ilvl w:val="1"/>
      </w:numPr>
      <w:spacing w:before="0" w:line="278" w:lineRule="auto"/>
      <w:jc w:val="left"/>
    </w:pPr>
    <w:rPr>
      <w:rFonts w:eastAsiaTheme="majorEastAsia" w:cstheme="majorBidi"/>
      <w:noProof w:val="0"/>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54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0BF"/>
    <w:pPr>
      <w:spacing w:before="160" w:line="278" w:lineRule="auto"/>
      <w:jc w:val="center"/>
    </w:pPr>
    <w:rPr>
      <w:i/>
      <w:iCs/>
      <w:noProof w:val="0"/>
      <w:color w:val="404040" w:themeColor="text1" w:themeTint="BF"/>
      <w:sz w:val="24"/>
      <w:szCs w:val="24"/>
      <w:lang w:val="en-US"/>
    </w:rPr>
  </w:style>
  <w:style w:type="character" w:customStyle="1" w:styleId="QuoteChar">
    <w:name w:val="Quote Char"/>
    <w:basedOn w:val="DefaultParagraphFont"/>
    <w:link w:val="Quote"/>
    <w:uiPriority w:val="29"/>
    <w:rsid w:val="001540BF"/>
    <w:rPr>
      <w:i/>
      <w:iCs/>
      <w:color w:val="404040" w:themeColor="text1" w:themeTint="BF"/>
    </w:rPr>
  </w:style>
  <w:style w:type="paragraph" w:styleId="ListParagraph">
    <w:name w:val="List Paragraph"/>
    <w:basedOn w:val="Normal"/>
    <w:uiPriority w:val="34"/>
    <w:qFormat/>
    <w:rsid w:val="001540BF"/>
    <w:pPr>
      <w:spacing w:before="0" w:line="278" w:lineRule="auto"/>
      <w:ind w:left="720"/>
      <w:contextualSpacing/>
      <w:jc w:val="left"/>
    </w:pPr>
    <w:rPr>
      <w:noProof w:val="0"/>
      <w:sz w:val="24"/>
      <w:szCs w:val="24"/>
      <w:lang w:val="en-US"/>
    </w:rPr>
  </w:style>
  <w:style w:type="character" w:styleId="IntenseEmphasis">
    <w:name w:val="Intense Emphasis"/>
    <w:basedOn w:val="DefaultParagraphFont"/>
    <w:uiPriority w:val="21"/>
    <w:qFormat/>
    <w:rsid w:val="001540BF"/>
    <w:rPr>
      <w:i/>
      <w:iCs/>
      <w:color w:val="2F5496" w:themeColor="accent1" w:themeShade="BF"/>
    </w:rPr>
  </w:style>
  <w:style w:type="paragraph" w:styleId="IntenseQuote">
    <w:name w:val="Intense Quote"/>
    <w:basedOn w:val="Normal"/>
    <w:next w:val="Normal"/>
    <w:link w:val="IntenseQuoteChar"/>
    <w:uiPriority w:val="30"/>
    <w:qFormat/>
    <w:rsid w:val="001540B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noProof w:val="0"/>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1540BF"/>
    <w:rPr>
      <w:i/>
      <w:iCs/>
      <w:color w:val="2F5496" w:themeColor="accent1" w:themeShade="BF"/>
    </w:rPr>
  </w:style>
  <w:style w:type="character" w:styleId="IntenseReference">
    <w:name w:val="Intense Reference"/>
    <w:basedOn w:val="DefaultParagraphFont"/>
    <w:uiPriority w:val="32"/>
    <w:qFormat/>
    <w:rsid w:val="001540BF"/>
    <w:rPr>
      <w:b/>
      <w:bCs/>
      <w:smallCaps/>
      <w:color w:val="2F5496" w:themeColor="accent1" w:themeShade="BF"/>
      <w:spacing w:val="5"/>
    </w:rPr>
  </w:style>
  <w:style w:type="paragraph" w:styleId="Header">
    <w:name w:val="header"/>
    <w:basedOn w:val="Normal"/>
    <w:link w:val="HeaderChar"/>
    <w:uiPriority w:val="99"/>
    <w:unhideWhenUsed/>
    <w:rsid w:val="009347A4"/>
    <w:pPr>
      <w:tabs>
        <w:tab w:val="center" w:pos="4680"/>
        <w:tab w:val="right" w:pos="9360"/>
      </w:tabs>
      <w:spacing w:before="0" w:after="0" w:line="240" w:lineRule="auto"/>
      <w:jc w:val="left"/>
    </w:pPr>
    <w:rPr>
      <w:noProof w:val="0"/>
      <w:sz w:val="24"/>
      <w:szCs w:val="24"/>
      <w:lang w:val="en-US"/>
    </w:rPr>
  </w:style>
  <w:style w:type="character" w:customStyle="1" w:styleId="HeaderChar">
    <w:name w:val="Header Char"/>
    <w:basedOn w:val="DefaultParagraphFont"/>
    <w:link w:val="Header"/>
    <w:uiPriority w:val="99"/>
    <w:rsid w:val="009347A4"/>
  </w:style>
  <w:style w:type="paragraph" w:styleId="Footer">
    <w:name w:val="footer"/>
    <w:basedOn w:val="Normal"/>
    <w:link w:val="FooterChar"/>
    <w:uiPriority w:val="99"/>
    <w:unhideWhenUsed/>
    <w:rsid w:val="009347A4"/>
    <w:pPr>
      <w:tabs>
        <w:tab w:val="center" w:pos="4680"/>
        <w:tab w:val="right" w:pos="9360"/>
      </w:tabs>
      <w:spacing w:before="0" w:after="0" w:line="240" w:lineRule="auto"/>
      <w:jc w:val="left"/>
    </w:pPr>
    <w:rPr>
      <w:noProof w:val="0"/>
      <w:sz w:val="24"/>
      <w:szCs w:val="24"/>
      <w:lang w:val="en-US"/>
    </w:rPr>
  </w:style>
  <w:style w:type="character" w:customStyle="1" w:styleId="FooterChar">
    <w:name w:val="Footer Char"/>
    <w:basedOn w:val="DefaultParagraphFont"/>
    <w:link w:val="Footer"/>
    <w:uiPriority w:val="99"/>
    <w:rsid w:val="009347A4"/>
  </w:style>
  <w:style w:type="paragraph" w:styleId="BodyText">
    <w:name w:val="Body Text"/>
    <w:basedOn w:val="Normal"/>
    <w:link w:val="BodyTextChar"/>
    <w:uiPriority w:val="1"/>
    <w:qFormat/>
    <w:rsid w:val="00945B9B"/>
    <w:pPr>
      <w:widowControl w:val="0"/>
      <w:autoSpaceDE w:val="0"/>
      <w:autoSpaceDN w:val="0"/>
      <w:spacing w:before="0" w:after="0" w:line="240" w:lineRule="auto"/>
      <w:ind w:left="112"/>
      <w:jc w:val="left"/>
    </w:pPr>
    <w:rPr>
      <w:rFonts w:ascii="Calibri" w:eastAsia="Calibri" w:hAnsi="Calibri" w:cs="Calibri"/>
      <w:b/>
      <w:bCs/>
      <w:noProof w:val="0"/>
      <w:kern w:val="0"/>
      <w14:ligatures w14:val="none"/>
    </w:rPr>
  </w:style>
  <w:style w:type="character" w:customStyle="1" w:styleId="BodyTextChar">
    <w:name w:val="Body Text Char"/>
    <w:basedOn w:val="DefaultParagraphFont"/>
    <w:link w:val="BodyText"/>
    <w:uiPriority w:val="1"/>
    <w:rsid w:val="00945B9B"/>
    <w:rPr>
      <w:rFonts w:ascii="Calibri" w:eastAsia="Calibri" w:hAnsi="Calibri" w:cs="Calibri"/>
      <w:b/>
      <w:bCs/>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4263">
      <w:bodyDiv w:val="1"/>
      <w:marLeft w:val="0"/>
      <w:marRight w:val="0"/>
      <w:marTop w:val="0"/>
      <w:marBottom w:val="0"/>
      <w:divBdr>
        <w:top w:val="none" w:sz="0" w:space="0" w:color="auto"/>
        <w:left w:val="none" w:sz="0" w:space="0" w:color="auto"/>
        <w:bottom w:val="none" w:sz="0" w:space="0" w:color="auto"/>
        <w:right w:val="none" w:sz="0" w:space="0" w:color="auto"/>
      </w:divBdr>
    </w:div>
    <w:div w:id="256063466">
      <w:bodyDiv w:val="1"/>
      <w:marLeft w:val="0"/>
      <w:marRight w:val="0"/>
      <w:marTop w:val="0"/>
      <w:marBottom w:val="0"/>
      <w:divBdr>
        <w:top w:val="none" w:sz="0" w:space="0" w:color="auto"/>
        <w:left w:val="none" w:sz="0" w:space="0" w:color="auto"/>
        <w:bottom w:val="none" w:sz="0" w:space="0" w:color="auto"/>
        <w:right w:val="none" w:sz="0" w:space="0" w:color="auto"/>
      </w:divBdr>
    </w:div>
    <w:div w:id="560412447">
      <w:bodyDiv w:val="1"/>
      <w:marLeft w:val="0"/>
      <w:marRight w:val="0"/>
      <w:marTop w:val="0"/>
      <w:marBottom w:val="0"/>
      <w:divBdr>
        <w:top w:val="none" w:sz="0" w:space="0" w:color="auto"/>
        <w:left w:val="none" w:sz="0" w:space="0" w:color="auto"/>
        <w:bottom w:val="none" w:sz="0" w:space="0" w:color="auto"/>
        <w:right w:val="none" w:sz="0" w:space="0" w:color="auto"/>
      </w:divBdr>
    </w:div>
    <w:div w:id="1113398276">
      <w:bodyDiv w:val="1"/>
      <w:marLeft w:val="0"/>
      <w:marRight w:val="0"/>
      <w:marTop w:val="0"/>
      <w:marBottom w:val="0"/>
      <w:divBdr>
        <w:top w:val="none" w:sz="0" w:space="0" w:color="auto"/>
        <w:left w:val="none" w:sz="0" w:space="0" w:color="auto"/>
        <w:bottom w:val="none" w:sz="0" w:space="0" w:color="auto"/>
        <w:right w:val="none" w:sz="0" w:space="0" w:color="auto"/>
      </w:divBdr>
    </w:div>
    <w:div w:id="1185829393">
      <w:bodyDiv w:val="1"/>
      <w:marLeft w:val="0"/>
      <w:marRight w:val="0"/>
      <w:marTop w:val="0"/>
      <w:marBottom w:val="0"/>
      <w:divBdr>
        <w:top w:val="none" w:sz="0" w:space="0" w:color="auto"/>
        <w:left w:val="none" w:sz="0" w:space="0" w:color="auto"/>
        <w:bottom w:val="none" w:sz="0" w:space="0" w:color="auto"/>
        <w:right w:val="none" w:sz="0" w:space="0" w:color="auto"/>
      </w:divBdr>
    </w:div>
    <w:div w:id="1241789249">
      <w:bodyDiv w:val="1"/>
      <w:marLeft w:val="0"/>
      <w:marRight w:val="0"/>
      <w:marTop w:val="0"/>
      <w:marBottom w:val="0"/>
      <w:divBdr>
        <w:top w:val="none" w:sz="0" w:space="0" w:color="auto"/>
        <w:left w:val="none" w:sz="0" w:space="0" w:color="auto"/>
        <w:bottom w:val="none" w:sz="0" w:space="0" w:color="auto"/>
        <w:right w:val="none" w:sz="0" w:space="0" w:color="auto"/>
      </w:divBdr>
    </w:div>
    <w:div w:id="1464228904">
      <w:bodyDiv w:val="1"/>
      <w:marLeft w:val="0"/>
      <w:marRight w:val="0"/>
      <w:marTop w:val="0"/>
      <w:marBottom w:val="0"/>
      <w:divBdr>
        <w:top w:val="none" w:sz="0" w:space="0" w:color="auto"/>
        <w:left w:val="none" w:sz="0" w:space="0" w:color="auto"/>
        <w:bottom w:val="none" w:sz="0" w:space="0" w:color="auto"/>
        <w:right w:val="none" w:sz="0" w:space="0" w:color="auto"/>
      </w:divBdr>
    </w:div>
    <w:div w:id="1604921130">
      <w:bodyDiv w:val="1"/>
      <w:marLeft w:val="0"/>
      <w:marRight w:val="0"/>
      <w:marTop w:val="0"/>
      <w:marBottom w:val="0"/>
      <w:divBdr>
        <w:top w:val="none" w:sz="0" w:space="0" w:color="auto"/>
        <w:left w:val="none" w:sz="0" w:space="0" w:color="auto"/>
        <w:bottom w:val="none" w:sz="0" w:space="0" w:color="auto"/>
        <w:right w:val="none" w:sz="0" w:space="0" w:color="auto"/>
      </w:divBdr>
    </w:div>
    <w:div w:id="1953705580">
      <w:bodyDiv w:val="1"/>
      <w:marLeft w:val="0"/>
      <w:marRight w:val="0"/>
      <w:marTop w:val="0"/>
      <w:marBottom w:val="0"/>
      <w:divBdr>
        <w:top w:val="none" w:sz="0" w:space="0" w:color="auto"/>
        <w:left w:val="none" w:sz="0" w:space="0" w:color="auto"/>
        <w:bottom w:val="none" w:sz="0" w:space="0" w:color="auto"/>
        <w:right w:val="none" w:sz="0" w:space="0" w:color="auto"/>
      </w:divBdr>
    </w:div>
    <w:div w:id="1994405793">
      <w:bodyDiv w:val="1"/>
      <w:marLeft w:val="0"/>
      <w:marRight w:val="0"/>
      <w:marTop w:val="0"/>
      <w:marBottom w:val="0"/>
      <w:divBdr>
        <w:top w:val="none" w:sz="0" w:space="0" w:color="auto"/>
        <w:left w:val="none" w:sz="0" w:space="0" w:color="auto"/>
        <w:bottom w:val="none" w:sz="0" w:space="0" w:color="auto"/>
        <w:right w:val="none" w:sz="0" w:space="0" w:color="auto"/>
      </w:divBdr>
    </w:div>
    <w:div w:id="21368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Ardeleanu</dc:creator>
  <cp:keywords/>
  <dc:description/>
  <cp:lastModifiedBy>Maria Gavrila</cp:lastModifiedBy>
  <cp:revision>12</cp:revision>
  <dcterms:created xsi:type="dcterms:W3CDTF">2025-03-28T14:21:00Z</dcterms:created>
  <dcterms:modified xsi:type="dcterms:W3CDTF">2026-01-22T13:20:00Z</dcterms:modified>
</cp:coreProperties>
</file>